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15" w:rsidRPr="0048367F" w:rsidRDefault="000D6E15" w:rsidP="000D6E15">
      <w:pPr>
        <w:jc w:val="center"/>
        <w:rPr>
          <w:b/>
          <w:sz w:val="21"/>
          <w:szCs w:val="21"/>
          <w:lang w:val="uk-UA"/>
        </w:rPr>
      </w:pPr>
      <w:bookmarkStart w:id="0" w:name="_GoBack"/>
      <w:bookmarkEnd w:id="0"/>
      <w:r w:rsidRPr="0048367F">
        <w:rPr>
          <w:b/>
          <w:sz w:val="21"/>
          <w:szCs w:val="21"/>
          <w:lang w:val="uk-UA"/>
        </w:rPr>
        <w:t xml:space="preserve">Бюлетень </w:t>
      </w:r>
    </w:p>
    <w:p w:rsidR="000D6E15" w:rsidRPr="002F74F0" w:rsidRDefault="000D6E15" w:rsidP="000D6E15">
      <w:pPr>
        <w:jc w:val="center"/>
        <w:rPr>
          <w:b/>
          <w:sz w:val="21"/>
          <w:szCs w:val="21"/>
          <w:lang w:val="uk-UA"/>
        </w:rPr>
      </w:pPr>
      <w:r w:rsidRPr="0048367F">
        <w:rPr>
          <w:b/>
          <w:sz w:val="21"/>
          <w:szCs w:val="21"/>
          <w:lang w:val="uk-UA"/>
        </w:rPr>
        <w:t xml:space="preserve">для голосування </w:t>
      </w:r>
      <w:r w:rsidRPr="00BE73E6">
        <w:rPr>
          <w:b/>
          <w:sz w:val="21"/>
          <w:szCs w:val="21"/>
          <w:lang w:val="uk-UA"/>
        </w:rPr>
        <w:t>(крім кумулятивного голосування)</w:t>
      </w:r>
      <w:r>
        <w:rPr>
          <w:b/>
          <w:sz w:val="21"/>
          <w:szCs w:val="21"/>
          <w:lang w:val="uk-UA"/>
        </w:rPr>
        <w:t xml:space="preserve"> </w:t>
      </w:r>
      <w:r w:rsidRPr="0048367F">
        <w:rPr>
          <w:b/>
          <w:sz w:val="21"/>
          <w:szCs w:val="21"/>
          <w:lang w:val="uk-UA"/>
        </w:rPr>
        <w:t>акціонером</w:t>
      </w:r>
      <w:r>
        <w:rPr>
          <w:b/>
          <w:sz w:val="21"/>
          <w:szCs w:val="21"/>
          <w:lang w:val="uk-UA"/>
        </w:rPr>
        <w:t xml:space="preserve"> </w:t>
      </w:r>
    </w:p>
    <w:p w:rsidR="000D6E15" w:rsidRPr="002F74F0" w:rsidRDefault="000D6E15" w:rsidP="000D6E15">
      <w:pPr>
        <w:jc w:val="center"/>
        <w:rPr>
          <w:b/>
          <w:sz w:val="21"/>
          <w:szCs w:val="21"/>
          <w:u w:val="single"/>
          <w:lang w:val="uk-UA"/>
        </w:rPr>
      </w:pPr>
      <w:r>
        <w:rPr>
          <w:b/>
          <w:sz w:val="21"/>
          <w:szCs w:val="21"/>
          <w:u w:val="single"/>
          <w:lang w:val="uk-UA"/>
        </w:rPr>
        <w:t>_________________________________</w:t>
      </w:r>
    </w:p>
    <w:p w:rsidR="000D6E15" w:rsidRPr="002F74F0" w:rsidRDefault="000D6E15" w:rsidP="000D6E15">
      <w:pPr>
        <w:jc w:val="center"/>
        <w:rPr>
          <w:b/>
          <w:sz w:val="18"/>
          <w:szCs w:val="18"/>
          <w:lang w:val="uk-UA"/>
        </w:rPr>
      </w:pPr>
      <w:r w:rsidRPr="002F74F0">
        <w:rPr>
          <w:b/>
          <w:sz w:val="21"/>
          <w:szCs w:val="21"/>
          <w:lang w:val="uk-UA"/>
        </w:rPr>
        <w:t xml:space="preserve"> (</w:t>
      </w:r>
      <w:r w:rsidRPr="002F74F0">
        <w:rPr>
          <w:b/>
          <w:sz w:val="18"/>
          <w:szCs w:val="18"/>
          <w:lang w:val="uk-UA"/>
        </w:rPr>
        <w:t>ПІП фізичної особи, РНОКПП, реквізити паспорту /повна назва юридичної особи, ЄДРПОУ)</w:t>
      </w:r>
    </w:p>
    <w:p w:rsidR="000D6E15" w:rsidRPr="002F74F0" w:rsidRDefault="000D6E15" w:rsidP="000D6E15">
      <w:pPr>
        <w:ind w:left="1276"/>
        <w:rPr>
          <w:sz w:val="21"/>
          <w:szCs w:val="21"/>
          <w:lang w:val="uk-UA"/>
        </w:rPr>
      </w:pPr>
      <w:r w:rsidRPr="002F74F0">
        <w:rPr>
          <w:b/>
          <w:sz w:val="21"/>
          <w:szCs w:val="21"/>
          <w:lang w:val="uk-UA"/>
        </w:rPr>
        <w:t>______________________________________________________________________</w:t>
      </w:r>
    </w:p>
    <w:p w:rsidR="000D6E15" w:rsidRPr="002F74F0" w:rsidRDefault="000D6E15" w:rsidP="000D6E15">
      <w:pPr>
        <w:jc w:val="center"/>
        <w:rPr>
          <w:b/>
          <w:sz w:val="21"/>
          <w:szCs w:val="21"/>
          <w:lang w:val="uk-UA"/>
        </w:rPr>
      </w:pPr>
      <w:r w:rsidRPr="002F74F0">
        <w:rPr>
          <w:b/>
          <w:sz w:val="21"/>
          <w:szCs w:val="21"/>
          <w:lang w:val="uk-UA"/>
        </w:rPr>
        <w:t>(реквізити представника акціонера – за наявності)</w:t>
      </w:r>
    </w:p>
    <w:p w:rsidR="000D6E15" w:rsidRPr="002F74F0" w:rsidRDefault="000D6E15" w:rsidP="000D6E15">
      <w:pPr>
        <w:jc w:val="center"/>
        <w:rPr>
          <w:b/>
          <w:sz w:val="21"/>
          <w:szCs w:val="21"/>
          <w:lang w:val="uk-UA"/>
        </w:rPr>
      </w:pPr>
      <w:r w:rsidRPr="002F74F0">
        <w:rPr>
          <w:b/>
          <w:sz w:val="21"/>
          <w:szCs w:val="21"/>
          <w:lang w:val="uk-UA"/>
        </w:rPr>
        <w:t>на загальних зборах акціонерів</w:t>
      </w:r>
    </w:p>
    <w:p w:rsidR="000D6E15" w:rsidRPr="002F74F0" w:rsidRDefault="000D6E15" w:rsidP="000D6E15">
      <w:pPr>
        <w:jc w:val="center"/>
        <w:rPr>
          <w:b/>
          <w:sz w:val="21"/>
          <w:szCs w:val="21"/>
          <w:lang w:val="uk-UA"/>
        </w:rPr>
      </w:pPr>
      <w:r w:rsidRPr="002F74F0">
        <w:rPr>
          <w:b/>
          <w:sz w:val="21"/>
          <w:szCs w:val="21"/>
          <w:lang w:val="uk-UA"/>
        </w:rPr>
        <w:t>Акціонерного товариства  “Банк інвестицій та заощаджень”</w:t>
      </w:r>
    </w:p>
    <w:p w:rsidR="000D6E15" w:rsidRPr="002F74F0" w:rsidRDefault="000D6E15" w:rsidP="000D6E15">
      <w:pPr>
        <w:jc w:val="center"/>
        <w:rPr>
          <w:b/>
          <w:sz w:val="21"/>
          <w:szCs w:val="21"/>
          <w:lang w:val="uk-UA"/>
        </w:rPr>
      </w:pPr>
      <w:r w:rsidRPr="002F74F0">
        <w:rPr>
          <w:b/>
          <w:sz w:val="21"/>
          <w:szCs w:val="21"/>
          <w:lang w:val="uk-UA"/>
        </w:rPr>
        <w:t>(код ЄДРПОУ 33695095)</w:t>
      </w:r>
    </w:p>
    <w:p w:rsidR="000D6E15" w:rsidRPr="002F74F0" w:rsidRDefault="000D6E15" w:rsidP="000D6E15">
      <w:pPr>
        <w:rPr>
          <w:b/>
          <w:sz w:val="21"/>
          <w:szCs w:val="21"/>
          <w:lang w:val="uk-UA"/>
        </w:rPr>
      </w:pPr>
      <w:r w:rsidRPr="002F74F0">
        <w:rPr>
          <w:b/>
          <w:sz w:val="21"/>
          <w:szCs w:val="21"/>
          <w:lang w:val="uk-UA"/>
        </w:rPr>
        <w:t xml:space="preserve">                                                                             від </w:t>
      </w:r>
      <w:r>
        <w:rPr>
          <w:b/>
          <w:sz w:val="21"/>
          <w:szCs w:val="21"/>
          <w:lang w:val="uk-UA"/>
        </w:rPr>
        <w:t xml:space="preserve">29.04.2024 </w:t>
      </w:r>
      <w:r w:rsidRPr="002F74F0">
        <w:rPr>
          <w:b/>
          <w:sz w:val="21"/>
          <w:szCs w:val="21"/>
          <w:lang w:val="uk-UA"/>
        </w:rPr>
        <w:t xml:space="preserve"> року.</w:t>
      </w:r>
    </w:p>
    <w:p w:rsidR="000D6E15" w:rsidRPr="002F74F0" w:rsidRDefault="000D6E15" w:rsidP="000D6E15">
      <w:pPr>
        <w:numPr>
          <w:ilvl w:val="0"/>
          <w:numId w:val="1"/>
        </w:numPr>
        <w:jc w:val="both"/>
        <w:rPr>
          <w:sz w:val="21"/>
          <w:szCs w:val="21"/>
          <w:lang w:val="uk-UA"/>
        </w:rPr>
      </w:pPr>
      <w:r w:rsidRPr="002F74F0">
        <w:rPr>
          <w:sz w:val="21"/>
          <w:szCs w:val="21"/>
          <w:lang w:val="uk-UA"/>
        </w:rPr>
        <w:t>Повне найменування Товариства:</w:t>
      </w:r>
      <w:r>
        <w:rPr>
          <w:sz w:val="21"/>
          <w:szCs w:val="21"/>
          <w:lang w:val="uk-UA"/>
        </w:rPr>
        <w:t xml:space="preserve"> </w:t>
      </w:r>
      <w:r w:rsidRPr="002F74F0">
        <w:rPr>
          <w:sz w:val="21"/>
          <w:szCs w:val="21"/>
          <w:lang w:val="uk-UA"/>
        </w:rPr>
        <w:t>Акціонерне товариство «Банк інвестицій та заощаджень» (код ЄДРПОУ 33695095) (надалі скорочено - Банк);</w:t>
      </w:r>
    </w:p>
    <w:p w:rsidR="000D6E15" w:rsidRPr="002F74F0" w:rsidRDefault="000D6E15" w:rsidP="000D6E15">
      <w:pPr>
        <w:numPr>
          <w:ilvl w:val="0"/>
          <w:numId w:val="1"/>
        </w:numPr>
        <w:jc w:val="both"/>
        <w:rPr>
          <w:sz w:val="21"/>
          <w:szCs w:val="21"/>
          <w:lang w:val="uk-UA"/>
        </w:rPr>
      </w:pPr>
      <w:r w:rsidRPr="002F74F0">
        <w:rPr>
          <w:sz w:val="21"/>
          <w:szCs w:val="21"/>
          <w:lang w:val="uk-UA"/>
        </w:rPr>
        <w:t xml:space="preserve">Дата проведення дистанційних </w:t>
      </w:r>
      <w:r>
        <w:rPr>
          <w:sz w:val="21"/>
          <w:szCs w:val="21"/>
          <w:lang w:val="uk-UA"/>
        </w:rPr>
        <w:t>річних</w:t>
      </w:r>
      <w:r w:rsidRPr="002F74F0">
        <w:rPr>
          <w:sz w:val="21"/>
          <w:szCs w:val="21"/>
          <w:lang w:val="uk-UA"/>
        </w:rPr>
        <w:t xml:space="preserve"> загальних зборів акціонерів: </w:t>
      </w:r>
      <w:r w:rsidRPr="007466CE">
        <w:rPr>
          <w:b/>
          <w:sz w:val="21"/>
          <w:szCs w:val="21"/>
          <w:lang w:val="uk-UA"/>
        </w:rPr>
        <w:t>29.04.2024</w:t>
      </w:r>
      <w:r w:rsidRPr="002F74F0">
        <w:rPr>
          <w:b/>
          <w:sz w:val="21"/>
          <w:szCs w:val="21"/>
          <w:lang w:val="uk-UA"/>
        </w:rPr>
        <w:t xml:space="preserve"> року</w:t>
      </w:r>
      <w:r w:rsidRPr="002F74F0">
        <w:rPr>
          <w:sz w:val="21"/>
          <w:szCs w:val="21"/>
          <w:lang w:val="uk-UA"/>
        </w:rPr>
        <w:t xml:space="preserve"> ;</w:t>
      </w:r>
    </w:p>
    <w:p w:rsidR="000D6E15" w:rsidRPr="002F74F0" w:rsidRDefault="000D6E15" w:rsidP="000D6E15">
      <w:pPr>
        <w:numPr>
          <w:ilvl w:val="0"/>
          <w:numId w:val="1"/>
        </w:numPr>
        <w:jc w:val="both"/>
        <w:rPr>
          <w:sz w:val="21"/>
          <w:szCs w:val="21"/>
          <w:lang w:val="uk-UA"/>
        </w:rPr>
      </w:pPr>
      <w:r>
        <w:rPr>
          <w:sz w:val="21"/>
          <w:szCs w:val="21"/>
          <w:lang w:val="uk-UA"/>
        </w:rPr>
        <w:t xml:space="preserve">Дата і час початку голосування </w:t>
      </w:r>
      <w:r w:rsidRPr="002F74F0">
        <w:rPr>
          <w:sz w:val="21"/>
          <w:szCs w:val="21"/>
          <w:lang w:val="uk-UA"/>
        </w:rPr>
        <w:t>по питанням порядку денного 1-5 та 7-9</w:t>
      </w:r>
      <w:r>
        <w:rPr>
          <w:sz w:val="21"/>
          <w:szCs w:val="21"/>
          <w:lang w:val="uk-UA"/>
        </w:rPr>
        <w:t xml:space="preserve">: </w:t>
      </w:r>
      <w:r w:rsidRPr="002F74F0">
        <w:rPr>
          <w:b/>
          <w:sz w:val="21"/>
          <w:szCs w:val="21"/>
          <w:lang w:val="uk-UA"/>
        </w:rPr>
        <w:t>15.04.2024 року, 10:00</w:t>
      </w:r>
      <w:r w:rsidRPr="002F74F0">
        <w:rPr>
          <w:sz w:val="21"/>
          <w:szCs w:val="21"/>
          <w:lang w:val="uk-UA"/>
        </w:rPr>
        <w:t>;</w:t>
      </w:r>
    </w:p>
    <w:p w:rsidR="000D6E15" w:rsidRPr="002F74F0" w:rsidRDefault="000D6E15" w:rsidP="000D6E15">
      <w:pPr>
        <w:numPr>
          <w:ilvl w:val="0"/>
          <w:numId w:val="1"/>
        </w:numPr>
        <w:jc w:val="both"/>
        <w:rPr>
          <w:sz w:val="21"/>
          <w:szCs w:val="21"/>
          <w:lang w:val="uk-UA"/>
        </w:rPr>
      </w:pPr>
      <w:r w:rsidRPr="002F74F0">
        <w:rPr>
          <w:sz w:val="21"/>
          <w:szCs w:val="21"/>
          <w:lang w:val="uk-UA"/>
        </w:rPr>
        <w:t>Дата і час завершення голосування:</w:t>
      </w:r>
      <w:r>
        <w:rPr>
          <w:sz w:val="21"/>
          <w:szCs w:val="21"/>
          <w:lang w:val="uk-UA"/>
        </w:rPr>
        <w:t xml:space="preserve"> </w:t>
      </w:r>
      <w:r w:rsidRPr="002F74F0">
        <w:rPr>
          <w:b/>
          <w:sz w:val="21"/>
          <w:szCs w:val="21"/>
          <w:lang w:val="uk-UA"/>
        </w:rPr>
        <w:t>29.04.2024 року, 18:00;</w:t>
      </w:r>
      <w:r w:rsidRPr="002F74F0">
        <w:rPr>
          <w:sz w:val="21"/>
          <w:szCs w:val="21"/>
          <w:lang w:val="uk-UA"/>
        </w:rPr>
        <w:t xml:space="preserve"> </w:t>
      </w:r>
    </w:p>
    <w:p w:rsidR="000D6E15" w:rsidRPr="002F74F0" w:rsidRDefault="000D6E15" w:rsidP="000D6E15">
      <w:pPr>
        <w:numPr>
          <w:ilvl w:val="0"/>
          <w:numId w:val="1"/>
        </w:numPr>
        <w:contextualSpacing/>
        <w:jc w:val="both"/>
        <w:rPr>
          <w:b/>
          <w:bCs/>
          <w:sz w:val="21"/>
          <w:szCs w:val="21"/>
          <w:lang w:val="uk-UA"/>
        </w:rPr>
      </w:pPr>
      <w:r w:rsidRPr="002F74F0">
        <w:rPr>
          <w:sz w:val="21"/>
          <w:szCs w:val="21"/>
          <w:lang w:val="uk-UA"/>
        </w:rPr>
        <w:t>Кількість голосів, що належать акціонеру (одна акція – один голос):</w:t>
      </w:r>
      <w:r w:rsidRPr="002F74F0">
        <w:rPr>
          <w:b/>
          <w:bCs/>
          <w:sz w:val="21"/>
          <w:szCs w:val="21"/>
          <w:lang w:val="uk-UA"/>
        </w:rPr>
        <w:t xml:space="preserve"> </w:t>
      </w:r>
    </w:p>
    <w:p w:rsidR="000D6E15" w:rsidRPr="002F74F0" w:rsidRDefault="000D6E15" w:rsidP="000D6E15">
      <w:pPr>
        <w:ind w:left="502"/>
        <w:contextualSpacing/>
        <w:jc w:val="both"/>
        <w:rPr>
          <w:sz w:val="21"/>
          <w:szCs w:val="21"/>
          <w:lang w:val="uk-UA"/>
        </w:rPr>
      </w:pPr>
      <w:r>
        <w:rPr>
          <w:b/>
          <w:sz w:val="21"/>
          <w:szCs w:val="21"/>
          <w:lang w:val="uk-UA"/>
        </w:rPr>
        <w:t>________________________________________________________________________________</w:t>
      </w:r>
      <w:r w:rsidRPr="002F74F0">
        <w:rPr>
          <w:b/>
          <w:sz w:val="21"/>
          <w:szCs w:val="21"/>
          <w:lang w:val="uk-UA"/>
        </w:rPr>
        <w:t xml:space="preserve">  </w:t>
      </w:r>
    </w:p>
    <w:p w:rsidR="000D6E15" w:rsidRPr="002F74F0" w:rsidRDefault="000D6E15" w:rsidP="000D6E15">
      <w:pPr>
        <w:jc w:val="both"/>
        <w:rPr>
          <w:sz w:val="21"/>
          <w:szCs w:val="21"/>
          <w:lang w:val="uk-UA"/>
        </w:rPr>
      </w:pPr>
      <w:r w:rsidRPr="002F74F0">
        <w:rPr>
          <w:sz w:val="21"/>
          <w:szCs w:val="21"/>
          <w:lang w:val="uk-UA"/>
        </w:rPr>
        <w:t xml:space="preserve"> (кількість голосів в бюлетені для голосування зазначається акціонером (його представником) виходячи із кількості голосуючих акцій Банку такого акціонера, які обліковуються на рахунку в цінних паперах акціонера, що обслуговується депозитарною установою)</w:t>
      </w:r>
    </w:p>
    <w:p w:rsidR="000D6E15" w:rsidRPr="003E43C7" w:rsidRDefault="000D6E15" w:rsidP="000D6E15">
      <w:pPr>
        <w:jc w:val="both"/>
        <w:rPr>
          <w:b/>
          <w:color w:val="FF0000"/>
          <w:sz w:val="21"/>
          <w:szCs w:val="21"/>
          <w:lang w:val="uk-UA"/>
        </w:rPr>
      </w:pPr>
      <w:r w:rsidRPr="003E43C7">
        <w:rPr>
          <w:b/>
          <w:color w:val="FF0000"/>
          <w:sz w:val="21"/>
          <w:szCs w:val="21"/>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964"/>
        <w:gridCol w:w="1619"/>
      </w:tblGrid>
      <w:tr w:rsidR="000D6E15" w:rsidRPr="007466CE" w:rsidTr="00714E86">
        <w:tc>
          <w:tcPr>
            <w:tcW w:w="3369" w:type="dxa"/>
            <w:shd w:val="clear" w:color="auto" w:fill="auto"/>
          </w:tcPr>
          <w:p w:rsidR="000D6E15" w:rsidRPr="007466CE" w:rsidRDefault="000D6E15" w:rsidP="00714E86">
            <w:pPr>
              <w:widowControl w:val="0"/>
              <w:autoSpaceDE w:val="0"/>
              <w:autoSpaceDN w:val="0"/>
              <w:adjustRightInd w:val="0"/>
              <w:jc w:val="center"/>
              <w:rPr>
                <w:b/>
                <w:sz w:val="20"/>
                <w:szCs w:val="20"/>
                <w:lang w:val="uk-UA"/>
              </w:rPr>
            </w:pPr>
            <w:r w:rsidRPr="007466CE">
              <w:rPr>
                <w:b/>
                <w:sz w:val="20"/>
                <w:szCs w:val="20"/>
                <w:lang w:val="uk-UA"/>
              </w:rPr>
              <w:t>Питання порядку денного</w:t>
            </w:r>
          </w:p>
        </w:tc>
        <w:tc>
          <w:tcPr>
            <w:tcW w:w="5103" w:type="dxa"/>
            <w:shd w:val="clear" w:color="auto" w:fill="auto"/>
          </w:tcPr>
          <w:p w:rsidR="000D6E15" w:rsidRPr="007466CE" w:rsidRDefault="000D6E15" w:rsidP="00714E86">
            <w:pPr>
              <w:widowControl w:val="0"/>
              <w:autoSpaceDE w:val="0"/>
              <w:autoSpaceDN w:val="0"/>
              <w:adjustRightInd w:val="0"/>
              <w:jc w:val="center"/>
              <w:rPr>
                <w:b/>
                <w:sz w:val="20"/>
                <w:szCs w:val="20"/>
                <w:lang w:val="uk-UA"/>
              </w:rPr>
            </w:pPr>
            <w:r w:rsidRPr="007466CE">
              <w:rPr>
                <w:b/>
                <w:sz w:val="20"/>
                <w:szCs w:val="20"/>
                <w:lang w:val="uk-UA"/>
              </w:rPr>
              <w:t>Проект рішення</w:t>
            </w:r>
          </w:p>
        </w:tc>
        <w:tc>
          <w:tcPr>
            <w:tcW w:w="1628" w:type="dxa"/>
          </w:tcPr>
          <w:p w:rsidR="000D6E15" w:rsidRPr="007466CE" w:rsidRDefault="000D6E15" w:rsidP="00714E86">
            <w:pPr>
              <w:widowControl w:val="0"/>
              <w:autoSpaceDE w:val="0"/>
              <w:autoSpaceDN w:val="0"/>
              <w:adjustRightInd w:val="0"/>
              <w:jc w:val="center"/>
              <w:rPr>
                <w:b/>
                <w:sz w:val="20"/>
                <w:szCs w:val="20"/>
                <w:lang w:val="uk-UA"/>
              </w:rPr>
            </w:pPr>
            <w:r w:rsidRPr="007466CE">
              <w:rPr>
                <w:b/>
                <w:sz w:val="20"/>
                <w:szCs w:val="20"/>
                <w:lang w:val="uk-UA"/>
              </w:rPr>
              <w:t>Варіанти голосування:</w:t>
            </w:r>
          </w:p>
          <w:p w:rsidR="000D6E15" w:rsidRPr="007466CE" w:rsidRDefault="000D6E15" w:rsidP="00714E86">
            <w:pPr>
              <w:widowControl w:val="0"/>
              <w:autoSpaceDE w:val="0"/>
              <w:autoSpaceDN w:val="0"/>
              <w:adjustRightInd w:val="0"/>
              <w:jc w:val="center"/>
              <w:rPr>
                <w:b/>
                <w:sz w:val="20"/>
                <w:szCs w:val="20"/>
                <w:lang w:val="uk-UA"/>
              </w:rPr>
            </w:pPr>
            <w:r w:rsidRPr="007466CE">
              <w:rPr>
                <w:b/>
                <w:sz w:val="20"/>
                <w:szCs w:val="20"/>
                <w:lang w:val="uk-UA"/>
              </w:rPr>
              <w:t>"за", "проти"</w:t>
            </w:r>
          </w:p>
        </w:tc>
      </w:tr>
      <w:tr w:rsidR="000D6E15" w:rsidRPr="007466CE" w:rsidTr="00714E86">
        <w:tc>
          <w:tcPr>
            <w:tcW w:w="3369" w:type="dxa"/>
            <w:shd w:val="clear" w:color="auto" w:fill="auto"/>
          </w:tcPr>
          <w:p w:rsidR="000D6E15" w:rsidRPr="007466CE" w:rsidRDefault="000D6E15" w:rsidP="000D6E15">
            <w:pPr>
              <w:numPr>
                <w:ilvl w:val="0"/>
                <w:numId w:val="2"/>
              </w:numPr>
              <w:spacing w:after="200" w:line="276" w:lineRule="auto"/>
              <w:ind w:left="0" w:firstLine="0"/>
              <w:jc w:val="both"/>
              <w:rPr>
                <w:color w:val="FF0000"/>
                <w:sz w:val="20"/>
                <w:szCs w:val="20"/>
                <w:lang w:val="uk-UA"/>
              </w:rPr>
            </w:pPr>
            <w:r w:rsidRPr="007466CE">
              <w:rPr>
                <w:b/>
                <w:sz w:val="20"/>
                <w:szCs w:val="20"/>
                <w:lang w:val="uk-UA"/>
              </w:rPr>
              <w:t>Розгляд звіту Наглядової ради АТ «Банк інвестицій та заощаджень» за 2023 рік та прийняття рішення за результатами розгляду такого звіту.</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 xml:space="preserve">Затвердити звіт Наглядової ради АТ «Банк інвестицій та заощаджень» за 2023 рік. </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 результатом розгляду звіту Наглядової ради АТ «Банк інвестицій та заощаджень» за 2023 рік визнати роботу Наглядової ради  у 2023 році задовільною та забезпечити виплату премії кожному члену Наглядової ради у розмірі одного посадового окладу.</w:t>
            </w:r>
          </w:p>
          <w:p w:rsidR="000D6E15" w:rsidRPr="007466CE" w:rsidRDefault="000D6E15" w:rsidP="00714E86">
            <w:pPr>
              <w:widowControl w:val="0"/>
              <w:autoSpaceDE w:val="0"/>
              <w:autoSpaceDN w:val="0"/>
              <w:adjustRightInd w:val="0"/>
              <w:rPr>
                <w:color w:val="FF0000"/>
                <w:sz w:val="20"/>
                <w:szCs w:val="20"/>
                <w:lang w:val="uk-UA"/>
              </w:rPr>
            </w:pP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0D6E15">
            <w:pPr>
              <w:numPr>
                <w:ilvl w:val="0"/>
                <w:numId w:val="2"/>
              </w:numPr>
              <w:spacing w:after="200" w:line="276" w:lineRule="auto"/>
              <w:ind w:left="0" w:firstLine="0"/>
              <w:jc w:val="both"/>
              <w:rPr>
                <w:b/>
                <w:sz w:val="20"/>
                <w:szCs w:val="20"/>
                <w:lang w:val="uk-UA"/>
              </w:rPr>
            </w:pPr>
            <w:r w:rsidRPr="007466CE">
              <w:rPr>
                <w:b/>
                <w:sz w:val="20"/>
                <w:szCs w:val="20"/>
                <w:lang w:val="uk-UA"/>
              </w:rPr>
              <w:t>Затвердження звіту про винагороду членів Наглядової ради АТ «Банк інвестицій та заощаджень» за 2023 рік.</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Затвердити звіт про винагороду членів Наглядової ради АТ «Банк інвестицій та заощаджень» за 2023 рік.</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0D6E15">
            <w:pPr>
              <w:numPr>
                <w:ilvl w:val="0"/>
                <w:numId w:val="2"/>
              </w:numPr>
              <w:spacing w:after="200" w:line="276" w:lineRule="auto"/>
              <w:ind w:left="0" w:firstLine="0"/>
              <w:jc w:val="both"/>
              <w:rPr>
                <w:b/>
                <w:sz w:val="20"/>
                <w:szCs w:val="20"/>
                <w:lang w:val="uk-UA"/>
              </w:rPr>
            </w:pPr>
            <w:r w:rsidRPr="007466CE">
              <w:rPr>
                <w:b/>
                <w:sz w:val="20"/>
                <w:szCs w:val="20"/>
                <w:lang w:val="uk-UA"/>
              </w:rPr>
              <w:t>Розгляд висновків аудиторського звіту зовнішнього аудиту за результатами перевірки річної фінансової звітності АТ «Банк інвестицій та заощаджень» за 2023 рік та затвердження заходів за результатами розгляду такого звіту.</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Затвердити висновки аудиторського звіту аудиторської фірми ТОВ "Аудиторська фірма "АКТИВ-АУДИТ» за результатами перевірки річної фінансової звітності АТ «Банк інвестицій та заощаджень» за 2023 рік.</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Доручити Наглядовій раді та Правлінню Банку виконувати рекомендації викладені в аудиторському звіті та висновках.</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0D6E15">
            <w:pPr>
              <w:numPr>
                <w:ilvl w:val="0"/>
                <w:numId w:val="2"/>
              </w:numPr>
              <w:ind w:left="0" w:firstLine="0"/>
              <w:jc w:val="both"/>
              <w:rPr>
                <w:b/>
                <w:sz w:val="20"/>
                <w:szCs w:val="20"/>
                <w:lang w:val="uk-UA"/>
              </w:rPr>
            </w:pPr>
            <w:r w:rsidRPr="007466CE">
              <w:rPr>
                <w:b/>
                <w:sz w:val="20"/>
                <w:szCs w:val="20"/>
                <w:lang w:val="uk-UA"/>
              </w:rPr>
              <w:t xml:space="preserve">Затвердження результатів фінансово-господарської діяльності за 2023 рік (річного звіту) та розподіл прибутку АТ «Банк інвестицій та заощаджень» або затвердження порядку покриття збитків АТ «Банк інвестицій та заощаджень». </w:t>
            </w:r>
          </w:p>
          <w:p w:rsidR="000D6E15" w:rsidRPr="007466CE" w:rsidRDefault="000D6E15" w:rsidP="00714E86">
            <w:pPr>
              <w:spacing w:after="200" w:line="276" w:lineRule="auto"/>
              <w:jc w:val="both"/>
              <w:rPr>
                <w:b/>
                <w:sz w:val="20"/>
                <w:szCs w:val="20"/>
                <w:lang w:val="uk-UA"/>
              </w:rPr>
            </w:pP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lastRenderedPageBreak/>
              <w:t>Затвердити результати фінансово-господарської діяльності АТ «Банк інвестицій та заощаджень» за 2023 рік (річний звіт за 2023 рік).</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Затвердити розподіл прибутку АТ «Банк інвестицій та заощаджень», отриманого у 2023 році, в сумі 58 275 725,64  гривень</w:t>
            </w:r>
            <w:r w:rsidRPr="007466CE">
              <w:rPr>
                <w:b/>
                <w:color w:val="FF0000"/>
                <w:sz w:val="20"/>
                <w:szCs w:val="20"/>
                <w:lang w:val="uk-UA"/>
              </w:rPr>
              <w:t xml:space="preserve"> </w:t>
            </w:r>
            <w:r w:rsidRPr="007466CE">
              <w:rPr>
                <w:sz w:val="20"/>
                <w:szCs w:val="20"/>
                <w:lang w:val="uk-UA"/>
              </w:rPr>
              <w:t>наступним чином:</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 xml:space="preserve">- згідно Закону України “Про банки і банківську діяльність” 5% прибутку, що становить 2 913 786,28  гривень, перерахувати до резервного фонду АТ «Банк </w:t>
            </w:r>
            <w:r w:rsidRPr="007466CE">
              <w:rPr>
                <w:sz w:val="20"/>
                <w:szCs w:val="20"/>
                <w:lang w:val="uk-UA"/>
              </w:rPr>
              <w:lastRenderedPageBreak/>
              <w:t>інвестицій та заощаджень»;</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 решту 95% прибутку, що становить 55 361 939,36  гривень, залишити нерозподіленим.</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0D6E15">
            <w:pPr>
              <w:numPr>
                <w:ilvl w:val="0"/>
                <w:numId w:val="2"/>
              </w:numPr>
              <w:spacing w:after="200" w:line="276" w:lineRule="auto"/>
              <w:ind w:left="0" w:firstLine="0"/>
              <w:jc w:val="both"/>
              <w:rPr>
                <w:b/>
                <w:sz w:val="20"/>
                <w:szCs w:val="20"/>
                <w:lang w:val="uk-UA"/>
              </w:rPr>
            </w:pPr>
            <w:r w:rsidRPr="007466CE">
              <w:rPr>
                <w:b/>
                <w:sz w:val="20"/>
                <w:szCs w:val="20"/>
                <w:lang w:val="uk-UA"/>
              </w:rPr>
              <w:lastRenderedPageBreak/>
              <w:t>Прийняття рішення про припинення повноважень Голови та членів Наглядової ради АТ «Банк інвестицій та заощаджень» у зв’язку з їх переобранням.</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1. Припинити повноваження Голови та членів Наглядової ради АТ «Банк інвестицій та заощаджень»</w:t>
            </w:r>
            <w:r w:rsidRPr="007466CE">
              <w:rPr>
                <w:sz w:val="20"/>
                <w:szCs w:val="20"/>
              </w:rPr>
              <w:t xml:space="preserve"> у </w:t>
            </w:r>
            <w:proofErr w:type="spellStart"/>
            <w:r w:rsidRPr="007466CE">
              <w:rPr>
                <w:sz w:val="20"/>
                <w:szCs w:val="20"/>
              </w:rPr>
              <w:t>зв’язку</w:t>
            </w:r>
            <w:proofErr w:type="spellEnd"/>
            <w:r w:rsidRPr="007466CE">
              <w:rPr>
                <w:sz w:val="20"/>
                <w:szCs w:val="20"/>
              </w:rPr>
              <w:t xml:space="preserve"> з </w:t>
            </w:r>
            <w:proofErr w:type="spellStart"/>
            <w:r w:rsidRPr="007466CE">
              <w:rPr>
                <w:sz w:val="20"/>
                <w:szCs w:val="20"/>
              </w:rPr>
              <w:t>їх</w:t>
            </w:r>
            <w:proofErr w:type="spellEnd"/>
            <w:r w:rsidRPr="007466CE">
              <w:rPr>
                <w:sz w:val="20"/>
                <w:szCs w:val="20"/>
              </w:rPr>
              <w:t xml:space="preserve"> </w:t>
            </w:r>
            <w:proofErr w:type="spellStart"/>
            <w:r w:rsidRPr="007466CE">
              <w:rPr>
                <w:sz w:val="20"/>
                <w:szCs w:val="20"/>
              </w:rPr>
              <w:t>переобранням</w:t>
            </w:r>
            <w:proofErr w:type="spellEnd"/>
            <w:r w:rsidRPr="007466CE">
              <w:rPr>
                <w:sz w:val="20"/>
                <w:szCs w:val="20"/>
                <w:lang w:val="uk-UA"/>
              </w:rPr>
              <w:t>:</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1. Білоуса В.В. - Голови Наглядової ради, незалежного члена Наглядової ради АТ «Банк інвестицій та заощаджень».</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 xml:space="preserve">2. </w:t>
            </w:r>
            <w:proofErr w:type="spellStart"/>
            <w:r w:rsidRPr="007466CE">
              <w:rPr>
                <w:sz w:val="20"/>
                <w:szCs w:val="20"/>
                <w:lang w:val="uk-UA"/>
              </w:rPr>
              <w:t>Гончаренка</w:t>
            </w:r>
            <w:proofErr w:type="spellEnd"/>
            <w:r w:rsidRPr="007466CE">
              <w:rPr>
                <w:sz w:val="20"/>
                <w:szCs w:val="20"/>
                <w:lang w:val="uk-UA"/>
              </w:rPr>
              <w:t xml:space="preserve"> Ігоря Володимировича - </w:t>
            </w:r>
            <w:r w:rsidRPr="007466CE">
              <w:rPr>
                <w:sz w:val="20"/>
                <w:szCs w:val="20"/>
                <w:lang w:val="uk-UA"/>
              </w:rPr>
              <w:tab/>
              <w:t>- незалежного члена Наглядової ради АТ «Банк інвестицій та заощаджень».</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3. Калініченко І.О. - незалежного члена Наглядової ради АТ «Банк інвестицій та заощаджень».</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4. Попова О.М. - члена Наглядової ради АТ «Банк інвестицій та заощаджень», представника акціонера – ТОВ "КОМПАНІЯ "ЄВРОРЕЗЕРВ".</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 xml:space="preserve">5. </w:t>
            </w:r>
            <w:proofErr w:type="spellStart"/>
            <w:r w:rsidRPr="007466CE">
              <w:rPr>
                <w:sz w:val="20"/>
                <w:szCs w:val="20"/>
                <w:lang w:val="uk-UA"/>
              </w:rPr>
              <w:t>Рубаника</w:t>
            </w:r>
            <w:proofErr w:type="spellEnd"/>
            <w:r w:rsidRPr="007466CE">
              <w:rPr>
                <w:sz w:val="20"/>
                <w:szCs w:val="20"/>
                <w:lang w:val="uk-UA"/>
              </w:rPr>
              <w:t xml:space="preserve"> Ю.В. - представника акціонера </w:t>
            </w:r>
            <w:proofErr w:type="spellStart"/>
            <w:r w:rsidRPr="007466CE">
              <w:rPr>
                <w:sz w:val="20"/>
                <w:szCs w:val="20"/>
                <w:lang w:val="uk-UA"/>
              </w:rPr>
              <w:t>Івахіва</w:t>
            </w:r>
            <w:proofErr w:type="spellEnd"/>
            <w:r w:rsidRPr="007466CE">
              <w:rPr>
                <w:sz w:val="20"/>
                <w:szCs w:val="20"/>
                <w:lang w:val="uk-UA"/>
              </w:rPr>
              <w:t xml:space="preserve"> С.П.</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2. Встановити, що пункт 1 цього рішення загальних зборів акціонерів АТ «Банк інвестицій та заощаджень» набирає чинності з дати вступу на посаду новообраних членів Наглядової ради АТ «Банк інвестицій та заощаджень» у кількості більше половини членів від кількісного складу Наглядової ради, встановленого Статутом АТ «Банк інвестицій та заощаджень».</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0D6E15">
            <w:pPr>
              <w:numPr>
                <w:ilvl w:val="0"/>
                <w:numId w:val="3"/>
              </w:numPr>
              <w:spacing w:after="200" w:line="276" w:lineRule="auto"/>
              <w:ind w:left="0" w:firstLine="0"/>
              <w:jc w:val="both"/>
              <w:rPr>
                <w:b/>
                <w:sz w:val="20"/>
                <w:szCs w:val="20"/>
                <w:lang w:val="uk-UA"/>
              </w:rPr>
            </w:pPr>
            <w:r w:rsidRPr="007466CE">
              <w:rPr>
                <w:b/>
                <w:sz w:val="20"/>
                <w:szCs w:val="20"/>
                <w:lang w:val="uk-UA"/>
              </w:rPr>
              <w:t xml:space="preserve">Обрання Голови Наглядової ради АТ «Банк інвестицій та заощаджень». </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Обрати Головою Наглядової ради АТ «Банк інвестицій та заощаджень» незалежного члена Наглядової ради АТ «Банк інвестицій та заощаджень» Білоуса Віталія Володимировича.</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714E86">
            <w:pPr>
              <w:spacing w:after="200" w:line="276" w:lineRule="auto"/>
              <w:jc w:val="both"/>
              <w:rPr>
                <w:b/>
                <w:sz w:val="20"/>
                <w:szCs w:val="20"/>
                <w:lang w:val="uk-UA"/>
              </w:rPr>
            </w:pPr>
            <w:r w:rsidRPr="007466CE">
              <w:rPr>
                <w:b/>
                <w:sz w:val="20"/>
                <w:szCs w:val="20"/>
                <w:lang w:val="uk-UA"/>
              </w:rPr>
              <w:t>8.</w:t>
            </w:r>
            <w:r w:rsidRPr="007466CE">
              <w:rPr>
                <w:b/>
                <w:sz w:val="20"/>
                <w:szCs w:val="20"/>
                <w:lang w:val="uk-UA"/>
              </w:rPr>
              <w:tab/>
              <w:t>Затвердження умов трудових договорів (контрактів), що укладатимуться з членами Наглядової ради АТ «Банк інвестицій та заощаджень», встановлення розміру їх винагороди, обрання особи, яка уповноважується на підписання договорів (контрактів) з членами Наглядової ради</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Затвердити умови</w:t>
            </w:r>
            <w:r w:rsidRPr="007466CE">
              <w:rPr>
                <w:lang w:val="uk-UA"/>
              </w:rPr>
              <w:t xml:space="preserve"> </w:t>
            </w:r>
            <w:r w:rsidRPr="007466CE">
              <w:rPr>
                <w:sz w:val="20"/>
                <w:szCs w:val="20"/>
                <w:lang w:val="uk-UA"/>
              </w:rPr>
              <w:t>трудових договорів (контрактів), що укладатимуться з Головою та членами Наглядової ради АТ «Банк інвестицій та заощаджень», у редакціях, відповідно до додатку.</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Встановити розмір винагороди Голови та членів Наглядової ради АТ «Банк інвестицій та заощаджень» відповідно до умов трудових договорів (контрактів) згідно штатного розкладу та відповідно до затвердженого загальними зборами акціонерів кошторису на оплату винагороди Голови та членів Наглядової ради  , відповідно до додатку.</w:t>
            </w:r>
          </w:p>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Обрати Голову Правління АТ «Банк інвестицій та заощаджень» особою, яка уповноважується на підписання договорів (контрактів) з членами Наглядової ради АТ «Банк інвестицій та заощаджень».</w:t>
            </w:r>
          </w:p>
        </w:tc>
        <w:tc>
          <w:tcPr>
            <w:tcW w:w="1628" w:type="dxa"/>
          </w:tcPr>
          <w:p w:rsidR="000D6E15" w:rsidRPr="007466CE" w:rsidRDefault="000D6E15" w:rsidP="00714E86">
            <w:pPr>
              <w:widowControl w:val="0"/>
              <w:autoSpaceDE w:val="0"/>
              <w:autoSpaceDN w:val="0"/>
              <w:adjustRightInd w:val="0"/>
              <w:rPr>
                <w:sz w:val="20"/>
                <w:szCs w:val="20"/>
                <w:lang w:val="uk-UA"/>
              </w:rPr>
            </w:pPr>
          </w:p>
        </w:tc>
      </w:tr>
      <w:tr w:rsidR="000D6E15" w:rsidRPr="007466CE" w:rsidTr="00714E86">
        <w:tc>
          <w:tcPr>
            <w:tcW w:w="3369" w:type="dxa"/>
            <w:shd w:val="clear" w:color="auto" w:fill="auto"/>
          </w:tcPr>
          <w:p w:rsidR="000D6E15" w:rsidRPr="007466CE" w:rsidRDefault="000D6E15" w:rsidP="00714E86">
            <w:pPr>
              <w:spacing w:after="200" w:line="276" w:lineRule="auto"/>
              <w:jc w:val="both"/>
              <w:rPr>
                <w:b/>
                <w:sz w:val="20"/>
                <w:szCs w:val="20"/>
                <w:lang w:val="uk-UA"/>
              </w:rPr>
            </w:pPr>
            <w:r w:rsidRPr="007466CE">
              <w:rPr>
                <w:b/>
                <w:sz w:val="20"/>
                <w:szCs w:val="20"/>
                <w:lang w:val="uk-UA"/>
              </w:rPr>
              <w:t>9.Затвердження нової редакцій Положення про винагороду членів Наглядової ради АТ «Банк інвестицій та заощаджень».</w:t>
            </w:r>
          </w:p>
        </w:tc>
        <w:tc>
          <w:tcPr>
            <w:tcW w:w="5103" w:type="dxa"/>
            <w:shd w:val="clear" w:color="auto" w:fill="auto"/>
          </w:tcPr>
          <w:p w:rsidR="000D6E15" w:rsidRPr="007466CE" w:rsidRDefault="000D6E15" w:rsidP="00714E86">
            <w:pPr>
              <w:widowControl w:val="0"/>
              <w:autoSpaceDE w:val="0"/>
              <w:autoSpaceDN w:val="0"/>
              <w:adjustRightInd w:val="0"/>
              <w:rPr>
                <w:sz w:val="20"/>
                <w:szCs w:val="20"/>
                <w:lang w:val="uk-UA"/>
              </w:rPr>
            </w:pPr>
            <w:r w:rsidRPr="007466CE">
              <w:rPr>
                <w:sz w:val="20"/>
                <w:szCs w:val="20"/>
                <w:lang w:val="uk-UA"/>
              </w:rPr>
              <w:t>Затвердити Положення про винагороду членів Наглядової ради АТ «Банк інвестицій та заощаджень» у новій редакції.</w:t>
            </w:r>
          </w:p>
        </w:tc>
        <w:tc>
          <w:tcPr>
            <w:tcW w:w="1628" w:type="dxa"/>
          </w:tcPr>
          <w:p w:rsidR="000D6E15" w:rsidRPr="007466CE" w:rsidRDefault="000D6E15" w:rsidP="00714E86">
            <w:pPr>
              <w:widowControl w:val="0"/>
              <w:autoSpaceDE w:val="0"/>
              <w:autoSpaceDN w:val="0"/>
              <w:adjustRightInd w:val="0"/>
              <w:rPr>
                <w:sz w:val="20"/>
                <w:szCs w:val="20"/>
                <w:lang w:val="uk-UA"/>
              </w:rPr>
            </w:pPr>
          </w:p>
        </w:tc>
      </w:tr>
    </w:tbl>
    <w:p w:rsidR="000D6E15" w:rsidRPr="003E43C7" w:rsidRDefault="000D6E15" w:rsidP="000D6E15">
      <w:pPr>
        <w:jc w:val="both"/>
        <w:rPr>
          <w:b/>
          <w:color w:val="FF0000"/>
          <w:sz w:val="21"/>
          <w:szCs w:val="21"/>
          <w:lang w:val="uk-UA"/>
        </w:rPr>
      </w:pPr>
    </w:p>
    <w:p w:rsidR="000D6E15" w:rsidRPr="003E43C7" w:rsidRDefault="000D6E15" w:rsidP="000D6E15">
      <w:pPr>
        <w:jc w:val="both"/>
        <w:rPr>
          <w:sz w:val="21"/>
          <w:szCs w:val="21"/>
          <w:lang w:val="uk-UA"/>
        </w:rPr>
      </w:pPr>
    </w:p>
    <w:p w:rsidR="000D6E15" w:rsidRPr="003E43C7" w:rsidRDefault="000D6E15" w:rsidP="000D6E15">
      <w:pPr>
        <w:ind w:firstLine="708"/>
        <w:jc w:val="both"/>
        <w:rPr>
          <w:sz w:val="21"/>
          <w:szCs w:val="21"/>
          <w:lang w:val="uk-UA"/>
        </w:rPr>
      </w:pPr>
      <w:r w:rsidRPr="003E43C7">
        <w:rPr>
          <w:sz w:val="21"/>
          <w:szCs w:val="21"/>
          <w:lang w:val="uk-UA"/>
        </w:rPr>
        <w:t>Застереження</w:t>
      </w:r>
      <w:r>
        <w:rPr>
          <w:sz w:val="21"/>
          <w:szCs w:val="21"/>
          <w:lang w:val="uk-UA"/>
        </w:rPr>
        <w:t xml:space="preserve">: </w:t>
      </w:r>
      <w:r w:rsidRPr="003E43C7">
        <w:rPr>
          <w:sz w:val="21"/>
          <w:szCs w:val="21"/>
          <w:lang w:val="uk-UA"/>
        </w:rPr>
        <w:t xml:space="preserve">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Банку. </w:t>
      </w:r>
    </w:p>
    <w:p w:rsidR="000D6E15" w:rsidRPr="003E43C7" w:rsidRDefault="000D6E15" w:rsidP="000D6E15">
      <w:pPr>
        <w:ind w:firstLine="708"/>
        <w:jc w:val="both"/>
        <w:rPr>
          <w:sz w:val="21"/>
          <w:szCs w:val="21"/>
          <w:lang w:val="uk-UA"/>
        </w:rPr>
      </w:pPr>
      <w:r w:rsidRPr="003E43C7">
        <w:rPr>
          <w:sz w:val="21"/>
          <w:szCs w:val="21"/>
          <w:lang w:val="uk-UA"/>
        </w:rPr>
        <w:t>За відсутності таких реквізитів бюлетень вважається недійсним.</w:t>
      </w:r>
    </w:p>
    <w:p w:rsidR="000D6E15" w:rsidRPr="003E43C7" w:rsidRDefault="000D6E15" w:rsidP="000D6E15">
      <w:pPr>
        <w:rPr>
          <w:sz w:val="21"/>
          <w:szCs w:val="21"/>
          <w:lang w:val="uk-UA"/>
        </w:rPr>
      </w:pPr>
    </w:p>
    <w:p w:rsidR="000D6E15" w:rsidRPr="003E43C7" w:rsidRDefault="000D6E15" w:rsidP="000D6E15">
      <w:pPr>
        <w:rPr>
          <w:sz w:val="21"/>
          <w:szCs w:val="21"/>
          <w:lang w:val="uk-UA"/>
        </w:rPr>
      </w:pPr>
      <w:r w:rsidRPr="003E43C7">
        <w:rPr>
          <w:sz w:val="21"/>
          <w:szCs w:val="21"/>
          <w:lang w:val="uk-UA"/>
        </w:rPr>
        <w:lastRenderedPageBreak/>
        <w:t xml:space="preserve">Підпис акціонера </w:t>
      </w:r>
      <w:r>
        <w:rPr>
          <w:sz w:val="21"/>
          <w:szCs w:val="21"/>
          <w:lang w:val="uk-UA"/>
        </w:rPr>
        <w:t xml:space="preserve"> </w:t>
      </w:r>
      <w:r w:rsidRPr="003E43C7">
        <w:rPr>
          <w:sz w:val="21"/>
          <w:szCs w:val="21"/>
          <w:lang w:val="uk-UA"/>
        </w:rPr>
        <w:t>(М.П.) _________________________</w:t>
      </w:r>
    </w:p>
    <w:p w:rsidR="000D6E15" w:rsidRPr="003E43C7" w:rsidRDefault="000D6E15" w:rsidP="000D6E15">
      <w:pPr>
        <w:rPr>
          <w:sz w:val="21"/>
          <w:szCs w:val="21"/>
          <w:lang w:val="uk-UA"/>
        </w:rPr>
      </w:pPr>
    </w:p>
    <w:p w:rsidR="000D6E15" w:rsidRPr="003E43C7" w:rsidRDefault="000D6E15" w:rsidP="000D6E15">
      <w:pPr>
        <w:rPr>
          <w:sz w:val="21"/>
          <w:szCs w:val="21"/>
          <w:lang w:val="uk-UA"/>
        </w:rPr>
      </w:pPr>
      <w:r w:rsidRPr="003E43C7">
        <w:rPr>
          <w:sz w:val="21"/>
          <w:szCs w:val="21"/>
          <w:lang w:val="uk-UA"/>
        </w:rPr>
        <w:t xml:space="preserve">Дата «_____» </w:t>
      </w:r>
      <w:r>
        <w:rPr>
          <w:sz w:val="21"/>
          <w:szCs w:val="21"/>
          <w:lang w:val="uk-UA"/>
        </w:rPr>
        <w:t>____________</w:t>
      </w:r>
      <w:r w:rsidRPr="003E43C7">
        <w:rPr>
          <w:sz w:val="21"/>
          <w:szCs w:val="21"/>
          <w:lang w:val="uk-UA"/>
        </w:rPr>
        <w:t xml:space="preserve"> 202</w:t>
      </w:r>
      <w:r>
        <w:rPr>
          <w:sz w:val="21"/>
          <w:szCs w:val="21"/>
          <w:lang w:val="uk-UA"/>
        </w:rPr>
        <w:t>4</w:t>
      </w:r>
      <w:r w:rsidRPr="003E43C7">
        <w:rPr>
          <w:sz w:val="21"/>
          <w:szCs w:val="21"/>
          <w:lang w:val="uk-UA"/>
        </w:rPr>
        <w:t xml:space="preserve"> року</w:t>
      </w:r>
    </w:p>
    <w:p w:rsidR="003E0F63" w:rsidRDefault="003E0F63"/>
    <w:sectPr w:rsidR="003E0F63">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E15" w:rsidRDefault="000D6E15" w:rsidP="000D6E15">
      <w:r>
        <w:separator/>
      </w:r>
    </w:p>
  </w:endnote>
  <w:endnote w:type="continuationSeparator" w:id="0">
    <w:p w:rsidR="000D6E15" w:rsidRDefault="000D6E15" w:rsidP="000D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15" w:rsidRDefault="000D6E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509541"/>
      <w:docPartObj>
        <w:docPartGallery w:val="Page Numbers (Bottom of Page)"/>
        <w:docPartUnique/>
      </w:docPartObj>
    </w:sdtPr>
    <w:sdtEndPr/>
    <w:sdtContent>
      <w:p w:rsidR="000D6E15" w:rsidRDefault="000D6E15">
        <w:pPr>
          <w:pStyle w:val="a5"/>
          <w:jc w:val="right"/>
        </w:pPr>
        <w:r>
          <w:fldChar w:fldCharType="begin"/>
        </w:r>
        <w:r>
          <w:instrText>PAGE   \* MERGEFORMAT</w:instrText>
        </w:r>
        <w:r>
          <w:fldChar w:fldCharType="separate"/>
        </w:r>
        <w:r w:rsidR="005722AA">
          <w:rPr>
            <w:noProof/>
          </w:rPr>
          <w:t>3</w:t>
        </w:r>
        <w:r>
          <w:fldChar w:fldCharType="end"/>
        </w:r>
      </w:p>
    </w:sdtContent>
  </w:sdt>
  <w:p w:rsidR="000D6E15" w:rsidRDefault="000D6E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15" w:rsidRDefault="000D6E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E15" w:rsidRDefault="000D6E15" w:rsidP="000D6E15">
      <w:r>
        <w:separator/>
      </w:r>
    </w:p>
  </w:footnote>
  <w:footnote w:type="continuationSeparator" w:id="0">
    <w:p w:rsidR="000D6E15" w:rsidRDefault="000D6E15" w:rsidP="000D6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15" w:rsidRDefault="000D6E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15" w:rsidRDefault="000D6E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E15" w:rsidRDefault="000D6E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0A8"/>
    <w:multiLevelType w:val="hybridMultilevel"/>
    <w:tmpl w:val="237E074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C61096B"/>
    <w:multiLevelType w:val="hybridMultilevel"/>
    <w:tmpl w:val="3162DD0C"/>
    <w:lvl w:ilvl="0" w:tplc="C6FC332A">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nsid w:val="6FAE2DC4"/>
    <w:multiLevelType w:val="hybridMultilevel"/>
    <w:tmpl w:val="77A43E98"/>
    <w:lvl w:ilvl="0" w:tplc="CB5060A2">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15"/>
    <w:rsid w:val="000D6E15"/>
    <w:rsid w:val="00130F60"/>
    <w:rsid w:val="003E0F63"/>
    <w:rsid w:val="005722AA"/>
    <w:rsid w:val="0072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1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E15"/>
    <w:pPr>
      <w:tabs>
        <w:tab w:val="center" w:pos="4677"/>
        <w:tab w:val="right" w:pos="9355"/>
      </w:tabs>
    </w:pPr>
  </w:style>
  <w:style w:type="character" w:customStyle="1" w:styleId="a4">
    <w:name w:val="Верхний колонтитул Знак"/>
    <w:basedOn w:val="a0"/>
    <w:link w:val="a3"/>
    <w:uiPriority w:val="99"/>
    <w:rsid w:val="000D6E15"/>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0D6E15"/>
    <w:pPr>
      <w:tabs>
        <w:tab w:val="center" w:pos="4677"/>
        <w:tab w:val="right" w:pos="9355"/>
      </w:tabs>
    </w:pPr>
  </w:style>
  <w:style w:type="character" w:customStyle="1" w:styleId="a6">
    <w:name w:val="Нижний колонтитул Знак"/>
    <w:basedOn w:val="a0"/>
    <w:link w:val="a5"/>
    <w:uiPriority w:val="99"/>
    <w:rsid w:val="000D6E1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E1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E15"/>
    <w:pPr>
      <w:tabs>
        <w:tab w:val="center" w:pos="4677"/>
        <w:tab w:val="right" w:pos="9355"/>
      </w:tabs>
    </w:pPr>
  </w:style>
  <w:style w:type="character" w:customStyle="1" w:styleId="a4">
    <w:name w:val="Верхний колонтитул Знак"/>
    <w:basedOn w:val="a0"/>
    <w:link w:val="a3"/>
    <w:uiPriority w:val="99"/>
    <w:rsid w:val="000D6E15"/>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0D6E15"/>
    <w:pPr>
      <w:tabs>
        <w:tab w:val="center" w:pos="4677"/>
        <w:tab w:val="right" w:pos="9355"/>
      </w:tabs>
    </w:pPr>
  </w:style>
  <w:style w:type="character" w:customStyle="1" w:styleId="a6">
    <w:name w:val="Нижний колонтитул Знак"/>
    <w:basedOn w:val="a0"/>
    <w:link w:val="a5"/>
    <w:uiPriority w:val="99"/>
    <w:rsid w:val="000D6E1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5380</Characters>
  <Application>Microsoft Office Word</Application>
  <DocSecurity>0</DocSecurity>
  <Lines>94</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Стеценко Наталія Анатоліївна</dc:creator>
  <cp:lastModifiedBy>Стеценко Наталія Анатоліївна</cp:lastModifiedBy>
  <cp:revision>2</cp:revision>
  <dcterms:created xsi:type="dcterms:W3CDTF">2024-04-05T22:31:00Z</dcterms:created>
  <dcterms:modified xsi:type="dcterms:W3CDTF">2024-04-05T22:31:00Z</dcterms:modified>
</cp:coreProperties>
</file>